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0.xml" ContentType="application/vnd.openxmlformats-officedocument.wordprocessingml.head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6.xml" ContentType="application/vnd.openxmlformats-officedocument.wordprocessingml.head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9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28.01.2026  №22-НПА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93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893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1.4-2026-ПО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и (или) выполнение работ по капитальном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left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893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893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893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861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8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61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8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8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66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Оказание услуг и (или) выполнение работ по капитальном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73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61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61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54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54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0"/>
        </w:trPr>
        <w:tc>
          <w:tcPr>
            <w:tcW w:w="697" w:type="dxa"/>
            <w:textDirection w:val="lrTb"/>
            <w:noWrap w:val="false"/>
          </w:tcPr>
          <w:p>
            <w:pPr>
              <w:pStyle w:val="893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893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893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893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pStyle w:val="893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71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Требования к ремонту многоквартирных домов (далее – МКД), являющегося объектом культурного наследия,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включенными в реестр, затрагивающие предмет охраны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Производственные работы, проводимые в целях поддержания в эксплуатационном состоянии памятника без изменения его особенностей, составляющих предмет охраны.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Работы по капитальному ремонту общего имущества в многоквартирных домах, являющихся объектами культурного наследия, включенными в реестр, затрагивающие предмет охраны (п. 4 ст. 56.1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Федерального закона от 25.06.2002 № 73-ФЗ «Об объектах культурного наследия (памятниках истории и культуры) народов Российской Федерации» (далее - Федеральный закон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№ 73-ФЗ)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, выполняются путем проведения работ по сохранению объекта культурного наследия с соблюдением требований, установленных Федеральным законом № 73-ФЗ.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Требования к приспособлению МКД, являющегося объектом культурного наследия, для современного использования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Производственные работы, проводимые в целях создания условий для современного использования объекта культурного наследия, представляющих собой историко-культурную ценность элементов объекта культурного наследия.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качеству выполняемых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spacing w:before="0"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оказания услуг и (или) выполнения работ по капитальному ремонту общего имущества в МКД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(далее – Подрядная организация) должна обеспечить выполнение работ в соответствии с требованиями нормативных документов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12-04-2002 «Безопасность труда в строительстве.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68.13330.2017 «Приемка в эксплуатацию законченных строительством объектов. Основные положения»;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48.13330.2019 «Организация строительства»;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ГОСТ 12.1.004-91 «Пожарная безопасность. Общие требования»;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54.13330.2022 «Здания жилые многоквартирные»;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СНиП 21-01-97 «Пожарная безопасность зданий и сооружений»;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СНиП 82-01-95 «Разработка и применение норм и нормативов расхода материальных ресурсов в строительстве. Основные положения»;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31-110-2003 «Проектирование и монтаж электроустановок жилых и общественных зданий», «Техническим заданием», Правилами устройства электроустановок (ПУЭ);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76.13330.2016 «Электротехнические устройства»;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30.13330.2020 «Внутренний водопровод и канализация зданий»,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40-102-2000 «Свод правил по проектированию и строительству. Проектирование и монтаж трубопроводов систем водоснабжения и канализации из полимерных труб»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50.13330.2024 «Тепловая защита зданий»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118 13330 2012 Общественные здания и сооружения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73.13330.2016"Внутренние санитарно-технические системы."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71.13330.2017 Изоляционные и отделочные покрытия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51.13330.2011 Защита от шума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25.13330.2020 "Основания и фундаменты на вечномерзлых грунтах"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28.13330.2017 "Защита строительных конструкций от коррозии"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45.13330.2017 "Земляные сооружения, основания и фундаменты"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60.13330.2020 «Отопление, вентиляция и кондиционирование».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Общие требования к Подрядной организации по выполнению работ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9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работ: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935"/>
                <w:rFonts w:ascii="Times New Roman" w:hAnsi="Times New Roman" w:cs="Times New Roman"/>
                <w:sz w:val="24"/>
                <w:szCs w:val="24"/>
              </w:rPr>
              <w:t xml:space="preserve">заключить договор на научное руководство проведения работ по капитальном</w:t>
            </w:r>
            <w:r>
              <w:rPr>
                <w:rStyle w:val="935"/>
                <w:rFonts w:ascii="Times New Roman" w:hAnsi="Times New Roman" w:cs="Times New Roman"/>
                <w:sz w:val="24"/>
                <w:szCs w:val="24"/>
              </w:rPr>
              <w:t xml:space="preserve">у ремонту и авторский надзор за их проведением (данные услуги Подрядная организация осуществляет за собственные средства) с лицом, осуществившем разработку проектной документации, необходимой для проведения работ по сохранению объекта культурного наследия;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1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35"/>
                <w:rFonts w:ascii="Times New Roman" w:hAnsi="Times New Roman" w:cs="Times New Roman"/>
                <w:sz w:val="24"/>
                <w:szCs w:val="24"/>
              </w:rPr>
              <w:t xml:space="preserve">- обеспечить осуществление технического надзора за проведением работ (данные услуги Исполнитель осуществляет за собственные средства);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9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35"/>
                <w:rFonts w:ascii="Times New Roman" w:hAnsi="Times New Roman" w:cs="Times New Roman"/>
                <w:sz w:val="24"/>
                <w:szCs w:val="24"/>
              </w:rPr>
              <w:t xml:space="preserve">- получить допуск на проведение работ, выданный органом охраны объектов культурного наследия;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9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-подготовить календарный график производства работ и предоставить его на утверждение Заказчику не позднее двух дней, следующих за датой заключения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осуществить завоз строительной техники и строительных материалов.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Во время проведения работ: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1) Осуществлять фотофиксацию скрытых работ, основных этапов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2) Предоставлять Заказчику еженедельный письменный отчет о ходе выполнения работ в электронном или бумажном виде.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3) Запрещается складирование строительных материалов на придомовой территории МКД.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4) Наличие наряд-допуска к огневым работам.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5) Демонтажные, монтажные работы проводятся с 8-00 до 19-00.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6) Обеспечить выполнение требований безопасности пребывания людей, так как работы по капитальному ремонту общего имущества МКД (далее – капитальный ремонт МКД) будут осуществляться в условиях эксплуатируемого МКД.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7) Уведомить Заказчика о готовности к началу работ, сдаче-приемке скрытых и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8) До начала работ Подрядная организация обязана выполнить подготовительные работы по защите квартир собственников МКД от протечек и прочих повреждений, связанных с производством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9) Назначить ответственного за производство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Копию приказа представить Заказчику.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10) Обеспечить обязательное выполнение требований законодательства Российской Федерации о безопасном ведении работ, охране окружающей среды, охране труда, пожарной безопасности и других строительных норм и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Качество, технические, функциональные характеристики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(потребительские свойства), эксплуатационные характеристики и иные показатели материалов и оборудования, используемых при выполнении работ, должны соответствовать Гражданскому кодексу Российской Федерации, Федеральному закону от 22 июля 2008 года № 123-ФЗ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«Технический регламент о требованиях пожарной безопасности», Федеральному закону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Федеральному закону РФ от 25.06.2002г. №73-ФЗ «Об объектах культурного наследия (памятниках истории и культуры) народов РФ» (в том числе в части требований к качеству работ и безопасности их проведения);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иным положениям действующего законодательства Российской Федерации, ГОСТ, ОСТ, ТУ, Перечню товара без указания на товарный знак,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Перечню товара с указанием на товарный знак и подтверждаться соответствующими сертификатами/декларациями о соответствии (при их наличии в соответствии с требованиями законодательства Российской Федерации) и другими документами, удостоверяющими их качество.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893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следует читать «или эквивалент»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893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tbl>
      <w:tblPr>
        <w:tblW w:w="10099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9"/>
        <w:gridCol w:w="34"/>
        <w:gridCol w:w="2377"/>
        <w:gridCol w:w="33"/>
        <w:gridCol w:w="6941"/>
        <w:gridCol w:w="34"/>
      </w:tblGrid>
      <w:tr>
        <w:tblPrEx/>
        <w:trPr>
          <w:tblHeader/>
        </w:trPr>
        <w:tc>
          <w:tcPr>
            <w:shd w:val="clear" w:color="auto" w:fill="f2f2f2"/>
            <w:tcW w:w="679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241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6974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Calibri" w:hAnsi="Calibri" w:eastAsia="Calibri" w:cs="Arial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sz w:val="22"/>
                <w:szCs w:val="22"/>
                <w:lang w:val="ru-RU" w:eastAsia="en-US" w:bidi="ar-SA"/>
              </w:rPr>
            </w:r>
            <w:r>
              <w:rPr>
                <w:rFonts w:ascii="Calibri" w:hAnsi="Calibri" w:eastAsia="Calibri" w:cs="Arial"/>
                <w:sz w:val="22"/>
                <w:szCs w:val="22"/>
                <w:lang w:val="ru-RU" w:eastAsia="en-US" w:bidi="ar-SA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79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241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6974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Calibri" w:hAnsi="Calibri" w:eastAsia="Calibri" w:cs="Arial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sz w:val="22"/>
                <w:szCs w:val="22"/>
                <w:lang w:val="ru-RU" w:eastAsia="en-US" w:bidi="ar-SA"/>
              </w:rPr>
            </w:r>
            <w:r>
              <w:rPr>
                <w:rFonts w:ascii="Calibri" w:hAnsi="Calibri" w:eastAsia="Calibri" w:cs="Arial"/>
                <w:sz w:val="22"/>
                <w:szCs w:val="22"/>
                <w:lang w:val="ru-RU" w:eastAsia="en-US" w:bidi="ar-SA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Предметом договора является выполнение работ по капитальному ремонту МКД, являющихся объектами культурного наследия, включенными в реестр, затрагивающие предмет охраны.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http://www.mjkh.nso.ru/page/724.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 Фиксированная. Определяется по итогам проведения электронного аукциона. Условия аукциона определяются Заказчиком в соответствии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Положением о привлечении специализированной некоммерческой организацией, осуществляющей деятельность, направленну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ю на обеспечение проведения капитального ремонта МКД, Подрядных организаций для оказания услуг и (или) выполнения работ по капитальному ремонту МКД, утвержденном постановлением Правительства Российской Федерации от 1 июля 2016 г. № 615 (далее – Положение).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 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 Цена договора может быть снижена по соглашению сторон при уменьшении предусмотренных договором об оказании услуг объемов работ (услуг).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 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обязательств по договору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32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строительного подряда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 о проведении электронного аукциона, в случае, если при проведении электронного аукциона участником закупки, с которым заключается договор строительного подряда, предложена цена, которая на 20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требование к независимой гарантии может быть предъяв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строительного подряда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93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ind w:left="52"/>
              <w:jc w:val="left"/>
              <w:spacing w:before="0" w:after="0" w:line="240" w:lineRule="auto"/>
              <w:widowControl w:val="off"/>
              <w:tabs>
                <w:tab w:val="left" w:pos="193" w:leader="none"/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0"/>
        </w:trPr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Договор строительного подряда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Порядок заключения договора определяется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7"/>
        </w:trPr>
        <w:tc>
          <w:tcPr>
            <w:gridSpan w:val="2"/>
            <w:tcW w:w="7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Предмет договора, место оказания услуг и (или) проведения работ, виды услуг и (или) работ не могут изменяться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ходе его исполнения. Сроки оказания услуг и (или) выполнения работ по договору строительного подряда 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изменение объема оказываемых услуг и (или) выполняемых работ по договору строительного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одряда по соглашению сторон при согласовании таких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недопуск собственниками помещений в МКД Подрядной организации к оказанию услуг и (или) выполнению работ по капитальному ремонту МКД по причинам, не связанным с неисполнением или ненадлежащим исполнением такой организацией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приостановка оказания услуг и (или) выполнения работ по капитальному ремонту МКД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При исполнении дог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овора не допускается перемена Подрядной организации, за исключением случаев, если новая Подрядная организация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такого расторжения устанавливаются в договоре строительного подряда);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задержка Подрядной организацией начала выполнения работ более чем на 10 (десять) календарных дней по причинам, не зависящим от Заказчика или собственников помещений в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нных договором строительного подряда,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о проведении капитального ремонта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законодательства Российской Федерации, лишающих права Подрядной организации на производство работ; 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ж) нарушение срока замены независимой гарантии, установленного договором строительного подряда,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з) выявление Заказчиком после заключения 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оговора строительного подряда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и) неисполнение обязательства о продлении срока независимой гарантии при изменении сроков оказания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строительного подряда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«Оказание услуг и (или) выполнение работ по капитальному ремонту общего имущества многоквартирных домов, являющихся объектами куль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Федерации»,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саморегулируемой организации в области строительства, реконстру</w:t>
      </w:r>
      <w:r>
        <w:rPr>
          <w:rFonts w:ascii="Times New Roman" w:hAnsi="Times New Roman" w:eastAsia="Calibri" w:cs="Times New Roman"/>
          <w:sz w:val="24"/>
          <w:szCs w:val="24"/>
        </w:rPr>
        <w:t xml:space="preserve">кции, капитального ремонта объектов капитального строительства.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Участника лицензии на осуществление деятельности по сохранению объектов культурного наследия (памятников истории и культуры) народов Российской Федерации в соответствии с законодательством Российской Федерации о лицензировании отдельных видов деятельности;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у Участника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ремонту объектов капитального строительства, относящ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юридического лица - Участника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наличие в штате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 № 4 к Документации о проведении предварительного отбора,</w:t>
      </w:r>
      <w:r>
        <w:rPr>
          <w:rFonts w:eastAsia="Calibri" w:cs="Times New Roman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н) наличие у Участника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этом, минимальный размер стоимости оказанных услуг и (или) выполненных работ по указанным исполненным контракт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ам и (или) договорам установлен в Приложении № 2 к Документации о проведении предварительного отбора в размере не более 10 процентов предельного размера обязательств по договорам строительного подряда, в соответствии с которым Участником как членом саморег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 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выписка из реестра лицензий на осуществление деятельности по сохранению объектов культурного наследия (памятников истории и культуры) народов Российской Федерации, представленная в форме электронного документа, подписанного усиленной квал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ифицированной электронной подписью лицензирующего органа либо в случае ведения указанного реестра лицензий в информационной системе, оператором которой является федеральный орган исполнительной власти, электронной подписью указанной информационной системы;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ж)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штатно-списочный состав сотрудников (рекомендуется представлять в соответствии с формой, установленной в Приложении № 3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отбора);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трудовых книжек и (или) сведения о трудовой деяте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предварительного отбора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Приложении № 5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Приложении № 6 к Документации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893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893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февраля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подписан,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969"/>
        <w:numPr>
          <w:ilvl w:val="0"/>
          <w:numId w:val="1"/>
        </w:numPr>
        <w:contextualSpacing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69"/>
        <w:numPr>
          <w:ilvl w:val="0"/>
          <w:numId w:val="1"/>
        </w:numPr>
        <w:contextualSpacing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erReference w:type="default" r:id="rId20"/>
          <w:footerReference w:type="even" r:id="rId21"/>
          <w:footerReference w:type="first" r:id="rId22"/>
          <w:footnotePr/>
          <w:endnotePr/>
          <w:type w:val="nextPage"/>
          <w:pgSz w:w="11906" w:h="16838" w:orient="portrait"/>
          <w:pgMar w:top="1134" w:right="567" w:bottom="766" w:left="1418" w:header="709" w:footer="709" w:gutter="0"/>
          <w:pgNumType w:start="1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предельный размер обязательств участника предварительного отбора по обязательствам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33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949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>
        <w:tblPrEx/>
        <w:trPr>
          <w:trHeight w:val="3552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613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893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893"/>
        <w:ind w:firstLine="54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893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  <w:sectPr>
          <w:headerReference w:type="default" r:id="rId12"/>
          <w:headerReference w:type="first" r:id="rId13"/>
          <w:footerReference w:type="default" r:id="rId23"/>
          <w:footerReference w:type="first" r:id="rId24"/>
          <w:footnotePr/>
          <w:endnotePr/>
          <w:type w:val="nextPage"/>
          <w:pgSz w:w="11906" w:h="16838" w:orient="portrait"/>
          <w:pgMar w:top="1134" w:right="624" w:bottom="1134" w:left="1361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893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893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93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893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893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93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893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«Сведения о включении в реестр специалистов в области строительства)»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ind w:firstLine="709"/>
        <w:jc w:val="right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4</w:t>
      </w:r>
      <w:r/>
    </w:p>
    <w:p>
      <w:pPr>
        <w:pStyle w:val="893"/>
        <w:ind w:firstLine="709"/>
        <w:jc w:val="right"/>
        <w:spacing w:before="0" w:after="0" w:line="240" w:lineRule="auto"/>
      </w:pPr>
      <w:r/>
      <w:r/>
    </w:p>
    <w:p>
      <w:pPr>
        <w:pStyle w:val="893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893"/>
              <w:spacing w:before="0" w:after="16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893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/>
          </w:p>
          <w:p>
            <w:pPr>
              <w:pStyle w:val="893"/>
              <w:jc w:val="both"/>
              <w:spacing w:before="0" w:after="0" w:line="240" w:lineRule="auto"/>
            </w:pPr>
            <w:r/>
            <w:r/>
          </w:p>
          <w:p>
            <w:pPr>
              <w:pStyle w:val="893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893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14"/>
          <w:headerReference w:type="first" r:id="rId15"/>
          <w:footerReference w:type="default" r:id="rId25"/>
          <w:footerReference w:type="first" r:id="rId26"/>
          <w:footnotePr/>
          <w:endnotePr/>
          <w:type w:val="nextPage"/>
          <w:pgSz w:w="16838" w:h="11906" w:orient="landscape"/>
          <w:pgMar w:top="1418" w:right="1134" w:bottom="765" w:left="1134" w:header="708" w:footer="708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893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56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893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89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6"/>
          <w:headerReference w:type="first" r:id="rId17"/>
          <w:footerReference w:type="default" r:id="rId27"/>
          <w:footerReference w:type="first" r:id="rId28"/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893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89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89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89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8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8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893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893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893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893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893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893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893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893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93"/>
      </w:pPr>
      <w:r/>
      <w:r/>
    </w:p>
    <w:p>
      <w:pPr>
        <w:pStyle w:val="893"/>
      </w:pPr>
      <w:r/>
      <w:r/>
    </w:p>
    <w:p>
      <w:pPr>
        <w:pStyle w:val="893"/>
        <w:spacing w:before="0" w:after="160"/>
      </w:pPr>
      <w:r/>
      <w:r/>
    </w:p>
    <w:sectPr>
      <w:headerReference w:type="default" r:id="rId18"/>
      <w:headerReference w:type="first" r:id="rId19"/>
      <w:footerReference w:type="default" r:id="rId29"/>
      <w:footerReference w:type="first" r:id="rId30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40603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16</w:t>
    </w:r>
    <w:r>
      <w:fldChar w:fldCharType="end"/>
    </w:r>
    <w:r/>
  </w:p>
  <w:p>
    <w:pPr>
      <w:pStyle w:val="967"/>
    </w:pPr>
    <w:r/>
    <w:r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25</w:t>
    </w:r>
    <w:r>
      <w:fldChar w:fldCharType="end"/>
    </w:r>
    <w:r/>
  </w:p>
  <w:p>
    <w:pPr>
      <w:pStyle w:val="967"/>
    </w:pPr>
    <w:r/>
    <w:r/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6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/>
    <w:r/>
  </w:p>
  <w:p>
    <w:pPr>
      <w:pStyle w:val="967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19</w:t>
    </w:r>
    <w:r>
      <w:fldChar w:fldCharType="end"/>
    </w:r>
    <w:r/>
  </w:p>
  <w:p>
    <w:pPr>
      <w:pStyle w:val="967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22</w:t>
    </w:r>
    <w:r>
      <w:fldChar w:fldCharType="end"/>
    </w:r>
    <w:r/>
  </w:p>
  <w:p>
    <w:pPr>
      <w:pStyle w:val="967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23</w:t>
    </w:r>
    <w:r>
      <w:fldChar w:fldCharType="end"/>
    </w:r>
    <w:r/>
  </w:p>
  <w:p>
    <w:pPr>
      <w:pStyle w:val="967"/>
    </w:pPr>
    <w:r/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3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4">
    <w:name w:val="Heading 1"/>
    <w:basedOn w:val="8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95">
    <w:name w:val="Heading 2"/>
    <w:basedOn w:val="8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96">
    <w:name w:val="Heading 3"/>
    <w:basedOn w:val="8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97">
    <w:name w:val="Heading 4"/>
    <w:basedOn w:val="8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98">
    <w:name w:val="Heading 5"/>
    <w:basedOn w:val="8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99">
    <w:name w:val="Heading 6"/>
    <w:basedOn w:val="8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00">
    <w:name w:val="Heading 7"/>
    <w:basedOn w:val="8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01">
    <w:name w:val="Heading 8"/>
    <w:basedOn w:val="8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02">
    <w:name w:val="Heading 9"/>
    <w:basedOn w:val="8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03">
    <w:name w:val="Heading 1 Char"/>
    <w:basedOn w:val="925"/>
    <w:uiPriority w:val="9"/>
    <w:qFormat/>
    <w:rPr>
      <w:rFonts w:ascii="Arial" w:hAnsi="Arial" w:eastAsia="Arial" w:cs="Arial"/>
      <w:sz w:val="40"/>
      <w:szCs w:val="40"/>
    </w:rPr>
  </w:style>
  <w:style w:type="character" w:styleId="904">
    <w:name w:val="Heading 2 Char"/>
    <w:basedOn w:val="925"/>
    <w:uiPriority w:val="9"/>
    <w:qFormat/>
    <w:rPr>
      <w:rFonts w:ascii="Arial" w:hAnsi="Arial" w:eastAsia="Arial" w:cs="Arial"/>
      <w:sz w:val="34"/>
    </w:rPr>
  </w:style>
  <w:style w:type="character" w:styleId="905">
    <w:name w:val="Heading 3 Char"/>
    <w:basedOn w:val="925"/>
    <w:uiPriority w:val="9"/>
    <w:qFormat/>
    <w:rPr>
      <w:rFonts w:ascii="Arial" w:hAnsi="Arial" w:eastAsia="Arial" w:cs="Arial"/>
      <w:sz w:val="30"/>
      <w:szCs w:val="30"/>
    </w:rPr>
  </w:style>
  <w:style w:type="character" w:styleId="906">
    <w:name w:val="Heading 4 Char"/>
    <w:basedOn w:val="92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907">
    <w:name w:val="Heading 5 Char"/>
    <w:basedOn w:val="92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908">
    <w:name w:val="Heading 6 Char"/>
    <w:basedOn w:val="92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909">
    <w:name w:val="Heading 7 Char"/>
    <w:basedOn w:val="9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910">
    <w:name w:val="Heading 8 Char"/>
    <w:basedOn w:val="92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1">
    <w:name w:val="Heading 9 Char"/>
    <w:basedOn w:val="92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12">
    <w:name w:val="Title Char"/>
    <w:basedOn w:val="925"/>
    <w:uiPriority w:val="10"/>
    <w:qFormat/>
    <w:rPr>
      <w:sz w:val="48"/>
      <w:szCs w:val="48"/>
    </w:rPr>
  </w:style>
  <w:style w:type="character" w:styleId="913">
    <w:name w:val="Subtitle Char"/>
    <w:basedOn w:val="925"/>
    <w:uiPriority w:val="11"/>
    <w:qFormat/>
    <w:rPr>
      <w:sz w:val="24"/>
      <w:szCs w:val="24"/>
    </w:rPr>
  </w:style>
  <w:style w:type="character" w:styleId="914">
    <w:name w:val="Quote Char"/>
    <w:uiPriority w:val="29"/>
    <w:qFormat/>
    <w:rPr>
      <w:i/>
    </w:rPr>
  </w:style>
  <w:style w:type="character" w:styleId="915">
    <w:name w:val="Intense Quote Char"/>
    <w:uiPriority w:val="30"/>
    <w:qFormat/>
    <w:rPr>
      <w:i/>
    </w:rPr>
  </w:style>
  <w:style w:type="character" w:styleId="916">
    <w:name w:val="Header Char"/>
    <w:basedOn w:val="925"/>
    <w:uiPriority w:val="99"/>
    <w:qFormat/>
  </w:style>
  <w:style w:type="character" w:styleId="917">
    <w:name w:val="Footer Char"/>
    <w:basedOn w:val="925"/>
    <w:uiPriority w:val="99"/>
    <w:qFormat/>
  </w:style>
  <w:style w:type="character" w:styleId="918">
    <w:name w:val="Caption Char"/>
    <w:uiPriority w:val="99"/>
    <w:qFormat/>
  </w:style>
  <w:style w:type="character" w:styleId="919">
    <w:name w:val="Footnote Text Char"/>
    <w:uiPriority w:val="99"/>
    <w:qFormat/>
    <w:rPr>
      <w:sz w:val="18"/>
    </w:rPr>
  </w:style>
  <w:style w:type="character" w:styleId="920">
    <w:name w:val="Footnote Characters"/>
    <w:uiPriority w:val="99"/>
    <w:unhideWhenUsed/>
    <w:qFormat/>
    <w:rPr>
      <w:vertAlign w:val="superscript"/>
    </w:rPr>
  </w:style>
  <w:style w:type="character" w:styleId="921">
    <w:name w:val="footnote reference"/>
    <w:rPr>
      <w:vertAlign w:val="superscript"/>
    </w:rPr>
  </w:style>
  <w:style w:type="character" w:styleId="922">
    <w:name w:val="Endnote Text Char"/>
    <w:uiPriority w:val="99"/>
    <w:qFormat/>
    <w:rPr>
      <w:sz w:val="20"/>
    </w:rPr>
  </w:style>
  <w:style w:type="character" w:styleId="923">
    <w:name w:val="Endnote Characters"/>
    <w:uiPriority w:val="99"/>
    <w:semiHidden/>
    <w:unhideWhenUsed/>
    <w:qFormat/>
    <w:rPr>
      <w:vertAlign w:val="superscript"/>
    </w:rPr>
  </w:style>
  <w:style w:type="character" w:styleId="924">
    <w:name w:val="endnote reference"/>
    <w:rPr>
      <w:vertAlign w:val="superscript"/>
    </w:rPr>
  </w:style>
  <w:style w:type="character" w:styleId="925" w:default="1">
    <w:name w:val="Default Paragraph Font"/>
    <w:uiPriority w:val="1"/>
    <w:semiHidden/>
    <w:unhideWhenUsed/>
    <w:qFormat/>
  </w:style>
  <w:style w:type="character" w:styleId="926" w:customStyle="1">
    <w:name w:val="Текст выноски Знак"/>
    <w:basedOn w:val="925"/>
    <w:uiPriority w:val="99"/>
    <w:semiHidden/>
    <w:qFormat/>
    <w:rPr>
      <w:rFonts w:ascii="Segoe UI" w:hAnsi="Segoe UI" w:cs="Segoe UI"/>
      <w:sz w:val="18"/>
      <w:szCs w:val="18"/>
    </w:rPr>
  </w:style>
  <w:style w:type="character" w:styleId="927">
    <w:name w:val="annotation reference"/>
    <w:basedOn w:val="925"/>
    <w:uiPriority w:val="99"/>
    <w:semiHidden/>
    <w:unhideWhenUsed/>
    <w:qFormat/>
    <w:rPr>
      <w:sz w:val="16"/>
      <w:szCs w:val="16"/>
    </w:rPr>
  </w:style>
  <w:style w:type="character" w:styleId="928" w:customStyle="1">
    <w:name w:val="Текст примечания Знак"/>
    <w:basedOn w:val="925"/>
    <w:uiPriority w:val="99"/>
    <w:semiHidden/>
    <w:qFormat/>
    <w:rPr>
      <w:sz w:val="20"/>
      <w:szCs w:val="20"/>
    </w:rPr>
  </w:style>
  <w:style w:type="character" w:styleId="929" w:customStyle="1">
    <w:name w:val="Тема примечания Знак"/>
    <w:basedOn w:val="928"/>
    <w:uiPriority w:val="99"/>
    <w:semiHidden/>
    <w:qFormat/>
    <w:rPr>
      <w:b/>
      <w:bCs/>
      <w:sz w:val="20"/>
      <w:szCs w:val="20"/>
    </w:rPr>
  </w:style>
  <w:style w:type="character" w:styleId="930" w:customStyle="1">
    <w:name w:val="Верхний колонтитул Знак"/>
    <w:basedOn w:val="925"/>
    <w:uiPriority w:val="99"/>
    <w:qFormat/>
  </w:style>
  <w:style w:type="character" w:styleId="931" w:customStyle="1">
    <w:name w:val="Нижний колонтитул Знак"/>
    <w:basedOn w:val="925"/>
    <w:uiPriority w:val="99"/>
    <w:qFormat/>
  </w:style>
  <w:style w:type="character" w:styleId="932">
    <w:name w:val="Hyperlink"/>
    <w:basedOn w:val="925"/>
    <w:uiPriority w:val="99"/>
    <w:unhideWhenUsed/>
    <w:rPr>
      <w:color w:val="0563c1" w:themeColor="hyperlink"/>
      <w:u w:val="single"/>
    </w:rPr>
  </w:style>
  <w:style w:type="character" w:styleId="933" w:customStyle="1">
    <w:name w:val="Абзац списка Знак"/>
    <w:uiPriority w:val="34"/>
    <w:qFormat/>
  </w:style>
  <w:style w:type="character" w:styleId="934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character" w:styleId="935" w:customStyle="1">
    <w:name w:val="blk"/>
    <w:qFormat/>
  </w:style>
  <w:style w:type="paragraph" w:styleId="936">
    <w:name w:val="Heading"/>
    <w:basedOn w:val="893"/>
    <w:next w:val="93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37">
    <w:name w:val="Body Text"/>
    <w:basedOn w:val="893"/>
    <w:pPr>
      <w:spacing w:before="0" w:after="140" w:line="276" w:lineRule="auto"/>
    </w:pPr>
  </w:style>
  <w:style w:type="paragraph" w:styleId="938">
    <w:name w:val="List"/>
    <w:basedOn w:val="937"/>
    <w:rPr>
      <w:rFonts w:cs="Mangal"/>
    </w:rPr>
  </w:style>
  <w:style w:type="paragraph" w:styleId="939">
    <w:name w:val="Caption"/>
    <w:basedOn w:val="8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40">
    <w:name w:val="Index"/>
    <w:basedOn w:val="893"/>
    <w:qFormat/>
    <w:pPr>
      <w:suppressLineNumbers/>
    </w:pPr>
    <w:rPr>
      <w:rFonts w:cs="Mangal"/>
    </w:rPr>
  </w:style>
  <w:style w:type="paragraph" w:styleId="941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942">
    <w:name w:val="Title"/>
    <w:basedOn w:val="89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43">
    <w:name w:val="Subtitle"/>
    <w:basedOn w:val="893"/>
    <w:uiPriority w:val="11"/>
    <w:qFormat/>
    <w:pPr>
      <w:spacing w:before="200" w:after="200"/>
    </w:pPr>
    <w:rPr>
      <w:sz w:val="24"/>
      <w:szCs w:val="24"/>
    </w:rPr>
  </w:style>
  <w:style w:type="paragraph" w:styleId="944">
    <w:name w:val="Quote"/>
    <w:basedOn w:val="893"/>
    <w:uiPriority w:val="29"/>
    <w:qFormat/>
    <w:pPr>
      <w:ind w:left="720" w:right="720"/>
    </w:pPr>
    <w:rPr>
      <w:i/>
    </w:rPr>
  </w:style>
  <w:style w:type="paragraph" w:styleId="945">
    <w:name w:val="Intense Quote"/>
    <w:basedOn w:val="893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46">
    <w:name w:val="footnote text"/>
    <w:basedOn w:val="89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47">
    <w:name w:val="endnote text"/>
    <w:basedOn w:val="89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48">
    <w:name w:val="toc 1"/>
    <w:basedOn w:val="893"/>
    <w:uiPriority w:val="39"/>
    <w:unhideWhenUsed/>
    <w:pPr>
      <w:ind w:left="0" w:right="0" w:firstLine="0"/>
      <w:spacing w:before="0" w:after="57"/>
    </w:pPr>
  </w:style>
  <w:style w:type="paragraph" w:styleId="949">
    <w:name w:val="toc 2"/>
    <w:basedOn w:val="893"/>
    <w:uiPriority w:val="39"/>
    <w:unhideWhenUsed/>
    <w:pPr>
      <w:ind w:left="283" w:right="0" w:firstLine="0"/>
      <w:spacing w:before="0" w:after="57"/>
    </w:pPr>
  </w:style>
  <w:style w:type="paragraph" w:styleId="950">
    <w:name w:val="toc 3"/>
    <w:basedOn w:val="893"/>
    <w:uiPriority w:val="39"/>
    <w:unhideWhenUsed/>
    <w:pPr>
      <w:ind w:left="567" w:right="0" w:firstLine="0"/>
      <w:spacing w:before="0" w:after="57"/>
    </w:pPr>
  </w:style>
  <w:style w:type="paragraph" w:styleId="951">
    <w:name w:val="toc 4"/>
    <w:basedOn w:val="893"/>
    <w:uiPriority w:val="39"/>
    <w:unhideWhenUsed/>
    <w:pPr>
      <w:ind w:left="850" w:right="0" w:firstLine="0"/>
      <w:spacing w:before="0" w:after="57"/>
    </w:pPr>
  </w:style>
  <w:style w:type="paragraph" w:styleId="952">
    <w:name w:val="toc 5"/>
    <w:basedOn w:val="893"/>
    <w:uiPriority w:val="39"/>
    <w:unhideWhenUsed/>
    <w:pPr>
      <w:ind w:left="1134" w:right="0" w:firstLine="0"/>
      <w:spacing w:before="0" w:after="57"/>
    </w:pPr>
  </w:style>
  <w:style w:type="paragraph" w:styleId="953">
    <w:name w:val="toc 6"/>
    <w:basedOn w:val="893"/>
    <w:uiPriority w:val="39"/>
    <w:unhideWhenUsed/>
    <w:pPr>
      <w:ind w:left="1417" w:right="0" w:firstLine="0"/>
      <w:spacing w:before="0" w:after="57"/>
    </w:pPr>
  </w:style>
  <w:style w:type="paragraph" w:styleId="954">
    <w:name w:val="toc 7"/>
    <w:basedOn w:val="893"/>
    <w:uiPriority w:val="39"/>
    <w:unhideWhenUsed/>
    <w:pPr>
      <w:ind w:left="1701" w:right="0" w:firstLine="0"/>
      <w:spacing w:before="0" w:after="57"/>
    </w:pPr>
  </w:style>
  <w:style w:type="paragraph" w:styleId="955">
    <w:name w:val="toc 8"/>
    <w:basedOn w:val="893"/>
    <w:uiPriority w:val="39"/>
    <w:unhideWhenUsed/>
    <w:pPr>
      <w:ind w:left="1984" w:right="0" w:firstLine="0"/>
      <w:spacing w:before="0" w:after="57"/>
    </w:pPr>
  </w:style>
  <w:style w:type="paragraph" w:styleId="956">
    <w:name w:val="toc 9"/>
    <w:basedOn w:val="893"/>
    <w:uiPriority w:val="39"/>
    <w:unhideWhenUsed/>
    <w:pPr>
      <w:ind w:left="2268" w:right="0" w:firstLine="0"/>
      <w:spacing w:before="0" w:after="57"/>
    </w:pPr>
  </w:style>
  <w:style w:type="paragraph" w:styleId="957">
    <w:name w:val="Index Heading"/>
    <w:basedOn w:val="936"/>
  </w:style>
  <w:style w:type="paragraph" w:styleId="958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959">
    <w:name w:val="table of figures"/>
    <w:basedOn w:val="893"/>
    <w:uiPriority w:val="99"/>
    <w:unhideWhenUsed/>
    <w:pPr>
      <w:spacing w:before="0" w:after="0" w:afterAutospacing="0"/>
    </w:pPr>
  </w:style>
  <w:style w:type="paragraph" w:styleId="960" w:customStyle="1">
    <w:name w:val="ConsPlusNormal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paragraph" w:styleId="961" w:customStyle="1">
    <w:name w:val="ConsPlusTitle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962" w:customStyle="1">
    <w:name w:val="ConsPlusTitlePage"/>
    <w:qFormat/>
    <w:pPr>
      <w:jc w:val="left"/>
      <w:spacing w:before="0" w:beforeAutospacing="0" w:after="0" w:afterAutospacing="0" w:line="240" w:lineRule="auto"/>
      <w:widowControl w:val="off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963">
    <w:name w:val="Balloon Text"/>
    <w:basedOn w:val="89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64">
    <w:name w:val="annotation text"/>
    <w:basedOn w:val="893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965">
    <w:name w:val="annotation subject"/>
    <w:basedOn w:val="964"/>
    <w:uiPriority w:val="99"/>
    <w:semiHidden/>
    <w:unhideWhenUsed/>
    <w:qFormat/>
    <w:rPr>
      <w:b/>
      <w:bCs/>
    </w:rPr>
  </w:style>
  <w:style w:type="paragraph" w:styleId="966">
    <w:name w:val="Header and Footer"/>
    <w:basedOn w:val="893"/>
    <w:qFormat/>
  </w:style>
  <w:style w:type="paragraph" w:styleId="967">
    <w:name w:val="Header"/>
    <w:basedOn w:val="89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68">
    <w:name w:val="Footer"/>
    <w:basedOn w:val="89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69">
    <w:name w:val="List Paragraph"/>
    <w:basedOn w:val="893"/>
    <w:uiPriority w:val="34"/>
    <w:qFormat/>
    <w:pPr>
      <w:contextualSpacing/>
      <w:ind w:left="720"/>
      <w:spacing w:before="0" w:after="160"/>
    </w:pPr>
  </w:style>
  <w:style w:type="numbering" w:styleId="970" w:default="1">
    <w:name w:val="No List"/>
    <w:uiPriority w:val="99"/>
    <w:semiHidden/>
    <w:unhideWhenUsed/>
    <w:qFormat/>
  </w:style>
  <w:style w:type="table" w:styleId="53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header" Target="header10.xml" /><Relationship Id="rId19" Type="http://schemas.openxmlformats.org/officeDocument/2006/relationships/header" Target="header11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footer" Target="footer3.xml" /><Relationship Id="rId23" Type="http://schemas.openxmlformats.org/officeDocument/2006/relationships/footer" Target="footer4.xml" /><Relationship Id="rId24" Type="http://schemas.openxmlformats.org/officeDocument/2006/relationships/footer" Target="footer5.xml" /><Relationship Id="rId25" Type="http://schemas.openxmlformats.org/officeDocument/2006/relationships/footer" Target="footer6.xml" /><Relationship Id="rId26" Type="http://schemas.openxmlformats.org/officeDocument/2006/relationships/footer" Target="footer7.xml" /><Relationship Id="rId27" Type="http://schemas.openxmlformats.org/officeDocument/2006/relationships/footer" Target="footer8.xml" /><Relationship Id="rId28" Type="http://schemas.openxmlformats.org/officeDocument/2006/relationships/footer" Target="footer9.xml" /><Relationship Id="rId29" Type="http://schemas.openxmlformats.org/officeDocument/2006/relationships/footer" Target="footer10.xml" /><Relationship Id="rId30" Type="http://schemas.openxmlformats.org/officeDocument/2006/relationships/footer" Target="footer11.xml" /><Relationship Id="rId31" Type="http://schemas.openxmlformats.org/officeDocument/2006/relationships/customXml" Target="../customXml/item1.xml" /><Relationship Id="rId32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33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10.xml.rels><?xml version="1.0" encoding="UTF-8" standalone="yes"?><Relationships xmlns="http://schemas.openxmlformats.org/package/2006/relationships"></Relationships>
</file>

<file path=word/_rels/header1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8EFE6-0056-4C8E-B881-C00B6A3B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dc:description/>
  <dc:language>ru-RU</dc:language>
  <cp:revision>74</cp:revision>
  <dcterms:created xsi:type="dcterms:W3CDTF">2022-03-23T07:12:00Z</dcterms:created>
  <dcterms:modified xsi:type="dcterms:W3CDTF">2026-01-28T06:33:52Z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